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73" w:rsidRDefault="001353F0">
      <w:pPr>
        <w:rPr>
          <w:rFonts w:ascii="Comic Sans MS" w:eastAsia="Comic Sans MS" w:hAnsi="Comic Sans MS" w:cs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2DBF9D21" wp14:editId="2AFBCA57">
                <wp:simplePos x="0" y="0"/>
                <wp:positionH relativeFrom="margin">
                  <wp:posOffset>390525</wp:posOffset>
                </wp:positionH>
                <wp:positionV relativeFrom="paragraph">
                  <wp:posOffset>-13335</wp:posOffset>
                </wp:positionV>
                <wp:extent cx="3514725" cy="70548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705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273" w:rsidRPr="001353F0" w:rsidRDefault="001353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1353F0">
                              <w:rPr>
                                <w:rFonts w:ascii="Arial Black" w:eastAsia="Arial Black" w:hAnsi="Arial Black" w:cs="Arial Black"/>
                                <w:i/>
                                <w:color w:val="000000"/>
                                <w:sz w:val="28"/>
                                <w:szCs w:val="28"/>
                              </w:rPr>
                              <w:t>Loving, Learning, Living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0.75pt;margin-top:-1.05pt;width:276.75pt;height:55.5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" filled="f" stroked="f">
                <v:textbox inset="2.53958mm,2.53958mm,2.53958mm,2.53958mm">
                  <w:txbxContent>
                    <w:p w:rsidR="00A41273" w:rsidRPr="001353F0" w:rsidRDefault="001353F0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1353F0">
                        <w:rPr>
                          <w:rFonts w:ascii="Arial Black" w:eastAsia="Arial Black" w:hAnsi="Arial Black" w:cs="Arial Black"/>
                          <w:i/>
                          <w:color w:val="000000"/>
                          <w:sz w:val="28"/>
                          <w:szCs w:val="28"/>
                        </w:rPr>
                        <w:t>Loving, Learning, Living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Comic Sans MS" w:eastAsia="Comic Sans MS" w:hAnsi="Comic Sans MS" w:cs="Comic Sans MS"/>
          <w:b/>
        </w:rPr>
        <w:t>Pioneers Class Year 4 – Summer Term 1 2017-2018</w:t>
      </w:r>
      <w:r>
        <w:rPr>
          <w:noProof/>
        </w:rPr>
        <w:drawing>
          <wp:anchor distT="36576" distB="36576" distL="36576" distR="36576" simplePos="0" relativeHeight="251658240" behindDoc="0" locked="0" layoutInCell="1" hidden="0" allowOverlap="1" wp14:anchorId="7DCE7551" wp14:editId="7477A9F2">
            <wp:simplePos x="0" y="0"/>
            <wp:positionH relativeFrom="margin">
              <wp:posOffset>-831849</wp:posOffset>
            </wp:positionH>
            <wp:positionV relativeFrom="paragraph">
              <wp:posOffset>-151764</wp:posOffset>
            </wp:positionV>
            <wp:extent cx="1139825" cy="1044575"/>
            <wp:effectExtent l="0" t="0" r="0" b="0"/>
            <wp:wrapSquare wrapText="bothSides" distT="36576" distB="36576" distL="36576" distR="36576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13324" t="17702" r="71838" b="58105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04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6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3655"/>
      </w:tblGrid>
      <w:tr w:rsidR="00A41273" w:rsidTr="001353F0">
        <w:tc>
          <w:tcPr>
            <w:tcW w:w="2960" w:type="dxa"/>
          </w:tcPr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Writing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Use alliteration effectively.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Use a range of descriptive phrases including some collective nouns. 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Use the perfect form of verbs to mark relationships of time and cause. 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Sequence paragraphs using conjunctions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   • Using conjunctions, adverbs and prepositions to express time and cause. </w:t>
            </w:r>
          </w:p>
        </w:tc>
        <w:tc>
          <w:tcPr>
            <w:tcW w:w="3655" w:type="dxa"/>
          </w:tcPr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Reading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Discuss words and phrases that capture the imagination</w:t>
            </w: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Retrieve and record information from non-fiction, using titles, headings, sub-headings and indexes.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Identify how language, structure and presentation contribute to meaning.</w:t>
            </w:r>
          </w:p>
        </w:tc>
      </w:tr>
      <w:tr w:rsidR="00A41273" w:rsidTr="001353F0">
        <w:tc>
          <w:tcPr>
            <w:tcW w:w="2960" w:type="dxa"/>
          </w:tcPr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Geography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Ask and answer geographical questions about the physical and hum</w:t>
            </w: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an characteristics of a location.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Explain own views about locations, giving reasons.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Use maps, atlases, globes and digital/computer mapping to locate countries and describe features.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Use a range of resources to identify the key physical and human fea</w:t>
            </w: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tures of a location. 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 Describe key aspects of: physical geography, including: rivers, mountains, volcanoes and earthquakes and the water cycle. 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Describe key features of: human geography, including: settlements and land use.</w:t>
            </w:r>
          </w:p>
        </w:tc>
        <w:tc>
          <w:tcPr>
            <w:tcW w:w="2960" w:type="dxa"/>
          </w:tcPr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Science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Set up simple, practical enquiries and comparative and fair tests.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Make accurate measurements using standard units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Report on findings from enquiries, including oral and written explanations, displays or presentations of results and conclusions.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Rec</w:t>
            </w: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ognise that environments can change and that this can sometimes pose dangers to specific habitats.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Compare and group materials together, according to whether they are solids, liquids or gases.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Observe that some materials change state when they are heat</w:t>
            </w: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ed or cooled, and measure the temperature at which this happens in degrees Celsius (°C)</w:t>
            </w:r>
          </w:p>
        </w:tc>
      </w:tr>
      <w:tr w:rsidR="00A41273" w:rsidTr="001353F0">
        <w:trPr>
          <w:trHeight w:val="140"/>
        </w:trPr>
        <w:tc>
          <w:tcPr>
            <w:tcW w:w="2960" w:type="dxa"/>
          </w:tcPr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Art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Collect information, sketches and resources.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Adapt and refine ideas as they progress.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Explore ideas in a variety of ways.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Use a number of brush techniques using thick and thin brushes to produce shapes, textures, patterns and lines.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Mix colours effectively.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Experiment with creating mood with colour.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Replicate some of the techniques used by notable artists, artisans an</w:t>
            </w: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d designers.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Create original pieces that are influenced by studies of others.</w:t>
            </w:r>
          </w:p>
        </w:tc>
        <w:tc>
          <w:tcPr>
            <w:tcW w:w="2960" w:type="dxa"/>
          </w:tcPr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2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2"/>
              </w:rPr>
              <w:t>Maths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2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Measure, compare, add and subtract: lengths (m/cm/mm); mass (kg/g); volume/capacity (l/ml).</w:t>
            </w: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br/>
              <w:t>• Measure the perimeter of simple 2-D shapes.</w:t>
            </w: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br/>
            </w: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Convert between different units of measure.</w:t>
            </w: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br/>
              <w:t>• Measure and calculate the perimeter of a rectangle or square</w:t>
            </w: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br/>
              <w:t>• Interpret and present data using bar charts, pictograms and tables.</w:t>
            </w: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br/>
              <w:t xml:space="preserve">• Interpret and present discrete and continuous data </w:t>
            </w:r>
          </w:p>
        </w:tc>
      </w:tr>
      <w:tr w:rsidR="00A41273" w:rsidTr="001353F0">
        <w:trPr>
          <w:trHeight w:val="520"/>
        </w:trPr>
        <w:tc>
          <w:tcPr>
            <w:tcW w:w="2960" w:type="dxa"/>
          </w:tcPr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2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2"/>
              </w:rPr>
              <w:t>History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2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2"/>
              </w:rPr>
              <w:t>"• Use evidenc</w:t>
            </w:r>
            <w:r w:rsidRPr="001353F0">
              <w:rPr>
                <w:rFonts w:ascii="Comic Sans MS" w:eastAsia="Comic Sans MS" w:hAnsi="Comic Sans MS" w:cs="Comic Sans MS"/>
                <w:sz w:val="14"/>
                <w:szCs w:val="12"/>
              </w:rPr>
              <w:t>e to ask questions and find answers to questions about the past.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2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2"/>
              </w:rPr>
              <w:t>• Suggest suitable sources of evidence for historical enquiries.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2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2"/>
              </w:rPr>
              <w:t>• Describe different accounts of a historical event, explaining some of the reasons why the accounts may differ.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2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2"/>
              </w:rPr>
              <w:t>• Suggest cau</w:t>
            </w:r>
            <w:r w:rsidRPr="001353F0">
              <w:rPr>
                <w:rFonts w:ascii="Comic Sans MS" w:eastAsia="Comic Sans MS" w:hAnsi="Comic Sans MS" w:cs="Comic Sans MS"/>
                <w:sz w:val="14"/>
                <w:szCs w:val="12"/>
              </w:rPr>
              <w:t>ses and consequences of some of the main events and changes in history.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2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2"/>
              </w:rPr>
              <w:t>• Place events, artefacts and historical figures on a time line using dates.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2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2"/>
              </w:rPr>
              <w:t>• Use dates and terms to describe events.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2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2"/>
              </w:rPr>
              <w:t>• Use appropriate historical vocabulary to communicate, including</w:t>
            </w:r>
            <w:r w:rsidRPr="001353F0">
              <w:rPr>
                <w:rFonts w:ascii="Comic Sans MS" w:eastAsia="Comic Sans MS" w:hAnsi="Comic Sans MS" w:cs="Comic Sans MS"/>
                <w:sz w:val="14"/>
                <w:szCs w:val="12"/>
              </w:rPr>
              <w:t>: dates, time period, era, change, chronology.</w:t>
            </w:r>
          </w:p>
        </w:tc>
        <w:tc>
          <w:tcPr>
            <w:tcW w:w="2960" w:type="dxa"/>
          </w:tcPr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PE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Throw and catch with control and accuracy.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Strike a ball and field with control.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Choose appropriate tactics to cause problems for the opposition.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Follow the rules of the game and play fairly.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Main</w:t>
            </w: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tain possession of a ball (with, e.g. feet, a hockey stick or hands).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Lead others and act as a respectful team member.</w:t>
            </w:r>
          </w:p>
        </w:tc>
      </w:tr>
      <w:tr w:rsidR="00A41273" w:rsidTr="001353F0">
        <w:tc>
          <w:tcPr>
            <w:tcW w:w="2960" w:type="dxa"/>
          </w:tcPr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Computing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Devise and construct databases using applications designed for this purpose in areas across the curriculum. </w:t>
            </w:r>
          </w:p>
          <w:p w:rsidR="00A41273" w:rsidRPr="001353F0" w:rsidRDefault="00A41273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</w:p>
        </w:tc>
        <w:tc>
          <w:tcPr>
            <w:tcW w:w="2960" w:type="dxa"/>
          </w:tcPr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PSHE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Deepen their understanding of good and not so good feelings, to extend their vocabulary to enable them to explain both the range and intensity of their feelings to others.</w:t>
            </w: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br/>
              <w:t>• Differentiate between the terms, ‘risk’, ‘danger’ and ‘hazard’.</w:t>
            </w: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br/>
              <w:t xml:space="preserve">• Recognise and </w:t>
            </w: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respond appropriately to a wider range of feelings in others.</w:t>
            </w:r>
          </w:p>
        </w:tc>
      </w:tr>
      <w:tr w:rsidR="00A41273" w:rsidTr="001353F0">
        <w:tc>
          <w:tcPr>
            <w:tcW w:w="2960" w:type="dxa"/>
          </w:tcPr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Music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Play notes on an instrument with care so that they are clear.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Perform with control and awareness of others.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Recognise the notes EGBDF and FACE on the musical stave.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Recognise the </w:t>
            </w: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symbols for a minim, crotchet and semibreve and say how many beats they represent.</w:t>
            </w:r>
          </w:p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Use the terms: duration, timbre, pitch, beat, tempo, texture and use of silence to describe music.</w:t>
            </w:r>
          </w:p>
        </w:tc>
        <w:tc>
          <w:tcPr>
            <w:tcW w:w="2960" w:type="dxa"/>
          </w:tcPr>
          <w:p w:rsidR="00A41273" w:rsidRPr="001353F0" w:rsidRDefault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RE</w:t>
            </w:r>
          </w:p>
          <w:p w:rsidR="001353F0" w:rsidRPr="001353F0" w:rsidRDefault="001353F0" w:rsidP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bookmarkStart w:id="0" w:name="_GoBack"/>
            <w:bookmarkEnd w:id="0"/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Present the key teachings and beliefs of a religion.</w:t>
            </w:r>
          </w:p>
          <w:p w:rsidR="001353F0" w:rsidRPr="001353F0" w:rsidRDefault="001353F0" w:rsidP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Identify religious artefacts and explain how and why they are used.</w:t>
            </w:r>
          </w:p>
          <w:p w:rsidR="001353F0" w:rsidRPr="001353F0" w:rsidRDefault="001353F0" w:rsidP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Describe religious buildings and explain how they are used.</w:t>
            </w:r>
          </w:p>
          <w:p w:rsidR="001353F0" w:rsidRPr="001353F0" w:rsidRDefault="001353F0" w:rsidP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• Explain some of the religious practices of both clerics and individuals.</w:t>
            </w:r>
          </w:p>
          <w:p w:rsidR="00A41273" w:rsidRPr="001353F0" w:rsidRDefault="001353F0" w:rsidP="001353F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1353F0">
              <w:rPr>
                <w:rFonts w:ascii="Comic Sans MS" w:eastAsia="Comic Sans MS" w:hAnsi="Comic Sans MS" w:cs="Comic Sans MS"/>
                <w:sz w:val="14"/>
                <w:szCs w:val="14"/>
              </w:rPr>
              <w:t>"</w:t>
            </w:r>
          </w:p>
        </w:tc>
      </w:tr>
    </w:tbl>
    <w:p w:rsidR="00A41273" w:rsidRPr="001353F0" w:rsidRDefault="001353F0">
      <w:r>
        <w:br w:type="page"/>
      </w:r>
    </w:p>
    <w:p w:rsidR="00A41273" w:rsidRDefault="00A41273">
      <w:pPr>
        <w:rPr>
          <w:rFonts w:ascii="Comic Sans MS" w:eastAsia="Comic Sans MS" w:hAnsi="Comic Sans MS" w:cs="Comic Sans MS"/>
          <w:b/>
        </w:rPr>
      </w:pPr>
    </w:p>
    <w:sectPr w:rsidR="00A41273" w:rsidSect="001353F0">
      <w:pgSz w:w="16838" w:h="11906"/>
      <w:pgMar w:top="426" w:right="1440" w:bottom="993" w:left="1440" w:header="708" w:footer="708" w:gutter="0"/>
      <w:pgNumType w:start="1"/>
      <w:cols w:num="2" w:space="720" w:equalWidth="0">
        <w:col w:w="6625" w:space="708"/>
        <w:col w:w="66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1273"/>
    <w:rsid w:val="001353F0"/>
    <w:rsid w:val="00A4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Gamston</dc:creator>
  <cp:lastModifiedBy>Nikki Gamston</cp:lastModifiedBy>
  <cp:revision>2</cp:revision>
  <cp:lastPrinted>2018-04-18T09:45:00Z</cp:lastPrinted>
  <dcterms:created xsi:type="dcterms:W3CDTF">2018-04-18T09:50:00Z</dcterms:created>
  <dcterms:modified xsi:type="dcterms:W3CDTF">2018-04-18T09:50:00Z</dcterms:modified>
</cp:coreProperties>
</file>