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15.0" w:type="dxa"/>
        <w:jc w:val="left"/>
        <w:tblInd w:w="-582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400"/>
      </w:tblPr>
      <w:tblGrid>
        <w:gridCol w:w="3960"/>
        <w:gridCol w:w="3600"/>
        <w:gridCol w:w="3315"/>
        <w:gridCol w:w="3240"/>
        <w:tblGridChange w:id="0">
          <w:tblGrid>
            <w:gridCol w:w="3960"/>
            <w:gridCol w:w="3600"/>
            <w:gridCol w:w="3315"/>
            <w:gridCol w:w="3240"/>
          </w:tblGrid>
        </w:tblGridChange>
      </w:tblGrid>
      <w:tr>
        <w:trPr>
          <w:trHeight w:val="1920" w:hRule="atLeast"/>
        </w:trPr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01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/>
              <w:drawing>
                <wp:inline distB="0" distT="0" distL="114300" distR="114300">
                  <wp:extent cx="357187" cy="337615"/>
                  <wp:effectExtent b="0" l="0" r="0" t="0"/>
                  <wp:docPr id="6" name="image1.jpg"/>
                  <a:graphic>
                    <a:graphicData uri="http://schemas.openxmlformats.org/drawingml/2006/picture">
                      <pic:pic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7187" cy="3376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410.0" w:type="dxa"/>
              <w:jc w:val="left"/>
              <w:tblLayout w:type="fixed"/>
              <w:tblLook w:val="0400"/>
            </w:tblPr>
            <w:tblGrid>
              <w:gridCol w:w="3410"/>
              <w:tblGridChange w:id="0">
                <w:tblGrid>
                  <w:gridCol w:w="3410"/>
                </w:tblGrid>
              </w:tblGridChange>
            </w:tblGrid>
            <w:tr>
              <w:trPr>
                <w:trHeight w:val="600" w:hRule="atLeast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0" w:val="nil"/>
                    <w:right w:color="000000" w:space="0" w:sz="0" w:val="nil"/>
                  </w:tcBorders>
                  <w:shd w:fill="ffffff" w:val="clear"/>
                  <w:vAlign w:val="center"/>
                </w:tcPr>
                <w:p w:rsidR="00000000" w:rsidDel="00000000" w:rsidP="00000000" w:rsidRDefault="00000000" w:rsidRPr="00000000" w14:paraId="00000002">
                  <w:pPr>
                    <w:spacing w:after="0" w:line="240" w:lineRule="auto"/>
                    <w:rPr>
                      <w:rFonts w:ascii="Calibri" w:cs="Calibri" w:eastAsia="Calibri" w:hAnsi="Calibri"/>
                      <w:b w:val="1"/>
                      <w:u w:val="singl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u w:val="single"/>
                      <w:rtl w:val="0"/>
                    </w:rPr>
                    <w:t xml:space="preserve"> </w:t>
                  </w:r>
                </w:p>
              </w:tc>
            </w:tr>
          </w:tbl>
          <w:p w:rsidR="00000000" w:rsidDel="00000000" w:rsidP="00000000" w:rsidRDefault="00000000" w:rsidRPr="00000000" w14:paraId="00000003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left"/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sz w:val="36"/>
                <w:szCs w:val="36"/>
                <w:u w:val="single"/>
                <w:rtl w:val="0"/>
              </w:rPr>
              <w:t xml:space="preserve">Follow the Stars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3143250</wp:posOffset>
                  </wp:positionH>
                  <wp:positionV relativeFrom="paragraph">
                    <wp:posOffset>0</wp:posOffset>
                  </wp:positionV>
                  <wp:extent cx="857250" cy="771525"/>
                  <wp:effectExtent b="0" l="0" r="0" t="0"/>
                  <wp:wrapNone/>
                  <wp:docPr descr="Image result for stars" id="5" name="image2.jpg"/>
                  <a:graphic>
                    <a:graphicData uri="http://schemas.openxmlformats.org/drawingml/2006/picture">
                      <pic:pic>
                        <pic:nvPicPr>
                          <pic:cNvPr descr="Image result for stars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85726</wp:posOffset>
                  </wp:positionH>
                  <wp:positionV relativeFrom="paragraph">
                    <wp:posOffset>0</wp:posOffset>
                  </wp:positionV>
                  <wp:extent cx="857250" cy="771525"/>
                  <wp:effectExtent b="0" l="0" r="0" t="0"/>
                  <wp:wrapSquare wrapText="bothSides" distB="0" distT="0" distL="114300" distR="114300"/>
                  <wp:docPr descr="Image result for stars" id="7" name="image3.jpg"/>
                  <a:graphic>
                    <a:graphicData uri="http://schemas.openxmlformats.org/drawingml/2006/picture">
                      <pic:pic>
                        <pic:nvPicPr>
                          <pic:cNvPr descr="Image result for stars" id="0" name="image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Comic Sans MS" w:cs="Comic Sans MS" w:eastAsia="Comic Sans MS" w:hAnsi="Comic Sans MS"/>
                <w:b w:val="1"/>
                <w:u w:val="singl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u w:val="single"/>
                <w:rtl w:val="0"/>
              </w:rPr>
              <w:t xml:space="preserve">Spring 1 2019</w:t>
            </w:r>
          </w:p>
        </w:tc>
      </w:tr>
      <w:tr>
        <w:trPr>
          <w:trHeight w:val="24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Writing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Reading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Mathematics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Science</w:t>
            </w:r>
          </w:p>
        </w:tc>
      </w:tr>
      <w:tr>
        <w:trPr>
          <w:trHeight w:val="216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Use the main features of a type of writing (identified in reading).</w:t>
              <w:br w:type="textWrapping"/>
              <w:t xml:space="preserve">• Use techniques used by authors to create characters and settings.</w:t>
              <w:br w:type="textWrapping"/>
              <w:t xml:space="preserve">• Plan, write, edit and improve. </w:t>
              <w:br w:type="textWrapping"/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Create characters, settings and plots.</w:t>
              <w:br w:type="textWrapping"/>
              <w:t xml:space="preserve">• Organise paragraphs around a theme.</w:t>
              <w:br w:type="textWrapping"/>
              <w:t xml:space="preserve">• Write sentences that include:</w:t>
              <w:br w:type="textWrapping"/>
              <w:t xml:space="preserve">      • conjunctions</w:t>
              <w:br w:type="textWrapping"/>
              <w:t xml:space="preserve">      • adverbs</w:t>
              <w:br w:type="textWrapping"/>
              <w:t xml:space="preserve">      • direct speech, punctuated correctly</w:t>
              <w:br w:type="textWrapping"/>
              <w:t xml:space="preserve">      • clauses</w:t>
              <w:br w:type="textWrapping"/>
              <w:t xml:space="preserve">      • adverbial phrases.</w:t>
              <w:br w:type="textWrapping"/>
              <w:t xml:space="preserve">• Join letters, deciding which letters are best left un-joined.</w:t>
              <w:br w:type="textWrapping"/>
              <w:t xml:space="preserve">• Spell homophones correctly.</w:t>
              <w:br w:type="textWrapping"/>
              <w:t xml:space="preserve">    • Extend the range of sentences with more than one clause by using a wider range of conjunctions, including when, if, because, although. 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Read further exception words, noting the spellings.</w:t>
              <w:br w:type="textWrapping"/>
              <w:t xml:space="preserve">• Draw inferences from reading.</w:t>
              <w:br w:type="textWrapping"/>
              <w:t xml:space="preserve">• Predict from details stated and implied.</w:t>
              <w:br w:type="textWrapping"/>
              <w:t xml:space="preserve">• Recall and summarise main ideas.</w:t>
              <w:br w:type="textWrapping"/>
              <w:t xml:space="preserve">• Discuss words and phrases that capture the imagination.</w:t>
              <w:br w:type="textWrapping"/>
              <w:t xml:space="preserve">• Prepare poems and plays to read aloud with expression, volume, tone and intonation.</w:t>
              <w:br w:type="textWrapping"/>
              <w:t xml:space="preserve">• Identify recurring themes and elements of different stories (e.g. good triumphing over evil).</w:t>
              <w:br w:type="textWrapping"/>
              <w:t xml:space="preserve">• Identify how language, structure and presentation contribute to meaning.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Find 1000 more or less than a given number.</w:t>
              <w:br w:type="textWrapping"/>
              <w:t xml:space="preserve">• Solve number and practical problems with increasingly large positive numbers.</w:t>
              <w:br w:type="textWrapping"/>
              <w:t xml:space="preserve">• Solve problems involving multiplying and dividing, including using the distributive law to multiply two digit numbers by one digit, integer scaling problems and harder correspondence problems (such as n objects are connected to m objects).</w:t>
              <w:br w:type="textWrapping"/>
              <w:t xml:space="preserve">• Recall multiplication and division facts for multiplication tables up to 12 × 12.</w:t>
              <w:br w:type="textWrapping"/>
              <w:t xml:space="preserve">• Recognise, find and write fractions of a discrete set of objects: unit fractions and non-unit fractions with small denominators.</w:t>
              <w:br w:type="textWrapping"/>
              <w:t xml:space="preserve">• Measure and calculate the perimeter of a rectilinear figure (including squares) in centimetres and metres.</w:t>
              <w:br w:type="textWrapping"/>
              <w:t xml:space="preserve">• Find the area of rectilinear shapes by counting squares.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Make accurate measurements using standard units, using a range of equipment, e.g. thermometers and data loggers.</w:t>
              <w:br w:type="textWrapping"/>
              <w:t xml:space="preserve">• Gather, record, classify and present data in a variety of ways to help in answering questions.</w:t>
              <w:br w:type="textWrapping"/>
              <w:t xml:space="preserve">• Report on findings from enquiries, including oral and written explanations, displays or presentations of results and conclusions.</w:t>
              <w:br w:type="textWrapping"/>
              <w:t xml:space="preserve">• Identify and describe the functions of different parts of flowering plants: roots, stem, leaves and flowers.</w:t>
              <w:br w:type="textWrapping"/>
              <w:t xml:space="preserve">• Identify that humans and some animals have skeletons and muscles for support, protection and movement.</w:t>
              <w:br w:type="textWrapping"/>
              <w:t xml:space="preserve">• Describe the simple functions of the basic parts of the digestive system in humans.</w:t>
              <w:br w:type="textWrapping"/>
              <w:t xml:space="preserve">• Identify the different types of teeth in humans and their simple functions.</w:t>
              <w:br w:type="textWrapping"/>
              <w:t xml:space="preserve">• Describe the movement of the Earth relative to the Sun in the solar system.</w:t>
              <w:br w:type="textWrapping"/>
              <w:t xml:space="preserve">• Describe the movement of the Moon relative to the Earth.</w:t>
            </w:r>
          </w:p>
        </w:tc>
      </w:tr>
      <w:tr>
        <w:trPr>
          <w:trHeight w:val="2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Computing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Geography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History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Physical Education</w:t>
            </w:r>
          </w:p>
        </w:tc>
      </w:tr>
      <w:tr>
        <w:trPr>
          <w:trHeight w:val="15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Use specified screen coordinates to control movement.</w:t>
              <w:br w:type="textWrapping"/>
              <w:t xml:space="preserve">• Set the appearance of objects and create sequences of changes.</w:t>
              <w:br w:type="textWrapping"/>
              <w:t xml:space="preserve">• Create and edit sounds. Control when they are heard, their volume, duration and rests.</w:t>
              <w:br w:type="textWrapping"/>
              <w:t xml:space="preserve">• Specify conditions to trigger events.</w:t>
              <w:br w:type="textWrapping"/>
              <w:t xml:space="preserve">• Use IF THEN conditions to control events or objects.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Ask and answer geographical questions about the physical and human characteristics of a location.</w:t>
              <w:br w:type="textWrapping"/>
              <w:t xml:space="preserve">• Use maps, atlases, globes and digital/computer mapping to locate countries and describe features.</w:t>
              <w:br w:type="textWrapping"/>
              <w:t xml:space="preserve">• Use a range of resources to identify the key physical and human features of a location. </w:t>
              <w:br w:type="textWrapping"/>
              <w:t xml:space="preserve">• Describe how the locality of the school has changed over time. 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Use evidence to ask questions and find answers to questions about the past.</w:t>
              <w:br w:type="textWrapping"/>
              <w:t xml:space="preserve">• Describe different accounts of a historical event, explaining some of the reasons why the accounts may differ.</w:t>
              <w:br w:type="textWrapping"/>
              <w:t xml:space="preserve">• Describe the social, ethnic, cultural or religious diversity of past society.</w:t>
              <w:br w:type="textWrapping"/>
              <w:t xml:space="preserve">• Describe the characteristic features of the past, including ideas, beliefs, attitudes and experiences of men, women and children.</w:t>
              <w:br w:type="textWrapping"/>
              <w:t xml:space="preserve">• Use appropriate historical vocabulary to communicate, including: dates, time period, era, change, chronology.</w:t>
              <w:br w:type="textWrapping"/>
              <w:t xml:space="preserve">• Use literacy, numeracy and computing skills to a good standard in order to communicate information about the past.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Plan, perform and repeat sequences.</w:t>
              <w:br w:type="textWrapping"/>
              <w:t xml:space="preserve">• Refine movements into sequences.</w:t>
              <w:br w:type="textWrapping"/>
              <w:t xml:space="preserve">• Create dances and movements that convey a definite idea.</w:t>
              <w:br w:type="textWrapping"/>
              <w:t xml:space="preserve">• Swim between 25 and 50 metres unaided.</w:t>
              <w:br w:type="textWrapping"/>
              <w:t xml:space="preserve">• Use more than one stroke and coordinate breathing as appropriate for the stroke being used.</w:t>
              <w:br w:type="textWrapping"/>
              <w:t xml:space="preserve">• Coordinate leg and arm movements.</w:t>
              <w:br w:type="textWrapping"/>
              <w:t xml:space="preserve">• Show an ability to both lead and form part of a team.</w:t>
            </w:r>
          </w:p>
        </w:tc>
      </w:tr>
      <w:tr>
        <w:trPr>
          <w:trHeight w:val="22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Art and Design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Design and Technology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Music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Languages</w:t>
            </w:r>
          </w:p>
        </w:tc>
      </w:tr>
      <w:tr>
        <w:trPr>
          <w:trHeight w:val="132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Develop ideas from starting points throughout the curriculum</w:t>
              <w:br w:type="textWrapping"/>
              <w:t xml:space="preserve">• Collect information, sketches and resources.</w:t>
              <w:br w:type="textWrapping"/>
              <w:t xml:space="preserve">• Comment on artworks using visual language.</w:t>
              <w:br w:type="textWrapping"/>
              <w:t xml:space="preserve">• Mix colours effectively.</w:t>
              <w:br w:type="textWrapping"/>
              <w:t xml:space="preserve">• Use watercolour paint to produce washes for backgrounds then add detail.</w:t>
              <w:br w:type="textWrapping"/>
              <w:t xml:space="preserve">• Experiment with creating mood with colour.</w:t>
              <w:br w:type="textWrapping"/>
              <w:t xml:space="preserve">• Use basic cross stitch and back stitch.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Cut materials accurately and safely by selecting appropriate tools.</w:t>
              <w:br w:type="textWrapping"/>
              <w:t xml:space="preserve">• Select the most appropriate techniques to decorate textiles.</w:t>
              <w:br w:type="textWrapping"/>
              <w:t xml:space="preserve">• Use scientific knowledge of the transference of forces to choose appropriate mechanisms for a product (such as levers, winding mechanisms, pulleys and gears).</w:t>
              <w:br w:type="textWrapping"/>
              <w:t xml:space="preserve">• Improve upon existing designs, giving reasons for choices.</w:t>
              <w:br w:type="textWrapping"/>
              <w:t xml:space="preserve">• Disassemble products to understand how they work.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Play notes on an instrument with care so that they are clear.</w:t>
              <w:br w:type="textWrapping"/>
              <w:t xml:space="preserve">• Create accompaniments for tunes.</w:t>
              <w:br w:type="textWrapping"/>
              <w:t xml:space="preserve">• Evaluate music using musical vocabulary to identify areas of likes and dislikes.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Express personal experiences and responses.</w:t>
              <w:br w:type="textWrapping"/>
              <w:t xml:space="preserve">• Write short phrases from memory with spelling that is readily understandable.</w:t>
              <w:br w:type="textWrapping"/>
              <w:t xml:space="preserve">• Take part in discussions and tasks.</w:t>
              <w:br w:type="textWrapping"/>
              <w:t xml:space="preserve">• Demonstrate a growing vocabulary.</w:t>
            </w:r>
          </w:p>
        </w:tc>
      </w:tr>
      <w:tr>
        <w:trPr>
          <w:trHeight w:val="30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PHSCE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Religious Education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14"/>
                <w:szCs w:val="14"/>
                <w:rtl w:val="0"/>
              </w:rPr>
              <w:t xml:space="preserve">Forest Based Learning</w:t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SassoonPrimaryInfant" w:cs="SassoonPrimaryInfant" w:eastAsia="SassoonPrimaryInfant" w:hAnsi="SassoonPrimaryInfant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4"/>
                <w:szCs w:val="14"/>
                <w:rtl w:val="0"/>
              </w:rPr>
              <w:t xml:space="preserve"> </w:t>
            </w:r>
          </w:p>
        </w:tc>
      </w:tr>
      <w:tr>
        <w:trPr>
          <w:trHeight w:val="110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• Identify what positively and negatively affects their physical, mental and emotional health (including the media).</w:t>
              <w:br w:type="textWrapping"/>
              <w:t xml:space="preserve">• Recognise opportunities to make their own choices about food, what might influence their choices and the benefits of eating a balanced diet.</w:t>
              <w:br w:type="textWrapping"/>
              <w:t xml:space="preserve">• Reflect on and celebrate their achievements, identify their strengths, areas for improvement, set high aspirations and goals.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Islam Lifestyles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Are there any similarities in the teachings of the Qur’an to those of Jesus? </w:t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(NCC)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GOSPELS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What kind of world did Jesus want to live in?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(Understanding Christianity)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SassoonPrimaryInfant" w:cs="SassoonPrimaryInfant" w:eastAsia="SassoonPrimaryInfant" w:hAnsi="SassoonPrimaryInfant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4"/>
                <w:szCs w:val="14"/>
                <w:rtl w:val="0"/>
              </w:rPr>
              <w:t xml:space="preserve">• Show an ability to both lead and form part of a team.</w:t>
            </w:r>
          </w:p>
          <w:p w:rsidR="00000000" w:rsidDel="00000000" w:rsidP="00000000" w:rsidRDefault="00000000" w:rsidRPr="00000000" w14:paraId="00000034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practise safe learning and risk assessment techniques</w:t>
            </w:r>
          </w:p>
          <w:p w:rsidR="00000000" w:rsidDel="00000000" w:rsidP="00000000" w:rsidRDefault="00000000" w:rsidRPr="00000000" w14:paraId="00000035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To talk about different seasons.</w:t>
            </w:r>
          </w:p>
          <w:p w:rsidR="00000000" w:rsidDel="00000000" w:rsidP="00000000" w:rsidRDefault="00000000" w:rsidRPr="00000000" w14:paraId="00000036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To talk about animals, their habits and habitats that live in our local environment.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ind w:left="0" w:firstLine="0"/>
              <w:rPr>
                <w:rFonts w:ascii="Comic Sans MS" w:cs="Comic Sans MS" w:eastAsia="Comic Sans MS" w:hAnsi="Comic Sans MS"/>
                <w:sz w:val="14"/>
                <w:szCs w:val="14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14"/>
                <w:szCs w:val="14"/>
                <w:rtl w:val="0"/>
              </w:rPr>
              <w:t xml:space="preserve">To have a variety of practical skills that involve destruction, construction, conservation and the use of fire.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SassoonPrimaryInfant" w:cs="SassoonPrimaryInfant" w:eastAsia="SassoonPrimaryInfant" w:hAnsi="SassoonPrimaryInfant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SassoonPrimaryInfant" w:cs="SassoonPrimaryInfant" w:eastAsia="SassoonPrimaryInfant" w:hAnsi="SassoonPrimaryInfant"/>
                <w:sz w:val="14"/>
                <w:szCs w:val="1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14"/>
                <w:szCs w:val="1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</w:t>
      </w:r>
    </w:p>
    <w:p w:rsidR="00000000" w:rsidDel="00000000" w:rsidP="00000000" w:rsidRDefault="00000000" w:rsidRPr="00000000" w14:paraId="0000003C">
      <w:pPr>
        <w:rPr>
          <w:rFonts w:ascii="Architects Daughter" w:cs="Architects Daughter" w:eastAsia="Architects Daughter" w:hAnsi="Architects Daughter"/>
          <w:b w:val="1"/>
          <w:sz w:val="40"/>
          <w:szCs w:val="40"/>
          <w:u w:val="single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                            </w:t>
      </w: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40"/>
          <w:szCs w:val="40"/>
          <w:u w:val="single"/>
          <w:rtl w:val="0"/>
        </w:rPr>
        <w:t xml:space="preserve">Time to Shine</w:t>
      </w:r>
    </w:p>
    <w:p w:rsidR="00000000" w:rsidDel="00000000" w:rsidP="00000000" w:rsidRDefault="00000000" w:rsidRPr="00000000" w14:paraId="0000003D">
      <w:pPr>
        <w:rPr>
          <w:rFonts w:ascii="Architects Daughter" w:cs="Architects Daughter" w:eastAsia="Architects Daughter" w:hAnsi="Architects Daughter"/>
          <w:sz w:val="40"/>
          <w:szCs w:val="4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2076450" cy="2009775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312538" y="2532225"/>
                          <a:ext cx="2066925" cy="2495550"/>
                        </a:xfrm>
                        <a:prstGeom prst="star7">
                          <a:avLst>
                            <a:gd fmla="val 38763" name="adj"/>
                            <a:gd fmla="val 102572" name="hf"/>
                            <a:gd fmla="val 105210" name="vf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Can you create a Mythical Creature and use it in a Mythical story?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9525</wp:posOffset>
                </wp:positionV>
                <wp:extent cx="2076450" cy="2009775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6450" cy="200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114550" cy="20097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93488" y="2522700"/>
                          <a:ext cx="2105025" cy="2514600"/>
                        </a:xfrm>
                        <a:prstGeom prst="star7">
                          <a:avLst>
                            <a:gd fmla="val 38763" name="adj"/>
                            <a:gd fmla="val 102572" name="hf"/>
                            <a:gd fmla="val 105210" name="vf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On our Star gazing evening, how many star constellations can you recognise?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2085975</wp:posOffset>
                </wp:positionH>
                <wp:positionV relativeFrom="paragraph">
                  <wp:posOffset>9525</wp:posOffset>
                </wp:positionV>
                <wp:extent cx="2114550" cy="2009775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4550" cy="2009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9525</wp:posOffset>
                </wp:positionV>
                <wp:extent cx="2295525" cy="1833563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203000" y="2508413"/>
                          <a:ext cx="2286000" cy="2543175"/>
                        </a:xfrm>
                        <a:prstGeom prst="star7">
                          <a:avLst>
                            <a:gd fmla="val 38763" name="adj"/>
                            <a:gd fmla="val 102572" name="hf"/>
                            <a:gd fmla="val 105210" name="vf"/>
                          </a:avLst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accent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Can you create a holiday brochure for a city from an Ancient Civilisation?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6553200</wp:posOffset>
                </wp:positionH>
                <wp:positionV relativeFrom="paragraph">
                  <wp:posOffset>9525</wp:posOffset>
                </wp:positionV>
                <wp:extent cx="2295525" cy="1833563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5525" cy="183356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314575" cy="2005013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193475" y="2503650"/>
                          <a:ext cx="2305050" cy="2552700"/>
                        </a:xfrm>
                        <a:prstGeom prst="star7">
                          <a:avLst>
                            <a:gd fmla="val 38763" name="adj"/>
                            <a:gd fmla="val 102572" name="hf"/>
                            <a:gd fmla="val 105210" name="vf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C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chitects Daughter" w:cs="Architects Daughter" w:eastAsia="Architects Daughter" w:hAnsi="Architects Daughte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How will you develop and improve the designs you choose to complete an Ancient Greek vase and Canopic Jar?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4200525</wp:posOffset>
                </wp:positionH>
                <wp:positionV relativeFrom="paragraph">
                  <wp:posOffset>9525</wp:posOffset>
                </wp:positionV>
                <wp:extent cx="2314575" cy="2005013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4575" cy="20050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tabs>
          <w:tab w:val="left" w:pos="8385"/>
        </w:tabs>
        <w:rPr>
          <w:rFonts w:ascii="Architects Daughter" w:cs="Architects Daughter" w:eastAsia="Architects Daughter" w:hAnsi="Architects Daughter"/>
          <w:sz w:val="40"/>
          <w:szCs w:val="40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40"/>
          <w:szCs w:val="40"/>
          <w:rtl w:val="0"/>
        </w:rPr>
        <w:tab/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mic Sans MS"/>
  <w:font w:name="Architects Daughter">
    <w:embedRegular w:fontKey="{00000000-0000-0000-0000-000000000000}" r:id="rId1" w:subsetted="0"/>
  </w:font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2" Type="http://schemas.openxmlformats.org/officeDocument/2006/relationships/image" Target="media/image7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