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A2" w:rsidRPr="00497DA2" w:rsidRDefault="00E66332" w:rsidP="00497DA2">
      <w:pPr>
        <w:spacing w:after="0" w:line="240" w:lineRule="auto"/>
        <w:jc w:val="center"/>
        <w:rPr>
          <w:rFonts w:cstheme="minorHAnsi"/>
          <w:b/>
          <w:sz w:val="40"/>
          <w:u w:val="single"/>
        </w:rPr>
      </w:pPr>
      <w:bookmarkStart w:id="0" w:name="_GoBack"/>
      <w:bookmarkEnd w:id="0"/>
      <w:r>
        <w:rPr>
          <w:rFonts w:cstheme="minorHAnsi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248A104A" wp14:editId="5F9F9AF5">
            <wp:simplePos x="0" y="0"/>
            <wp:positionH relativeFrom="column">
              <wp:posOffset>4509770</wp:posOffset>
            </wp:positionH>
            <wp:positionV relativeFrom="paragraph">
              <wp:posOffset>-50800</wp:posOffset>
            </wp:positionV>
            <wp:extent cx="142494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369" y="21214"/>
                <wp:lineTo x="213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07FCFAEA" wp14:editId="0F32A253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728470" cy="973455"/>
            <wp:effectExtent l="0" t="0" r="5080" b="0"/>
            <wp:wrapTight wrapText="bothSides">
              <wp:wrapPolygon edited="0">
                <wp:start x="0" y="0"/>
                <wp:lineTo x="0" y="21135"/>
                <wp:lineTo x="21425" y="21135"/>
                <wp:lineTo x="214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97DA2" w:rsidRPr="00497DA2">
        <w:rPr>
          <w:rFonts w:cstheme="minorHAnsi"/>
          <w:b/>
          <w:sz w:val="40"/>
          <w:u w:val="single"/>
        </w:rPr>
        <w:t>Plastic Fantastic?</w:t>
      </w:r>
      <w:proofErr w:type="gramEnd"/>
    </w:p>
    <w:p w:rsidR="00497DA2" w:rsidRDefault="00497DA2" w:rsidP="00497DA2">
      <w:pPr>
        <w:spacing w:after="0" w:line="240" w:lineRule="auto"/>
        <w:jc w:val="center"/>
        <w:rPr>
          <w:rFonts w:cstheme="minorHAnsi"/>
          <w:sz w:val="36"/>
        </w:rPr>
      </w:pPr>
    </w:p>
    <w:p w:rsidR="00E8094D" w:rsidRDefault="00497DA2" w:rsidP="00497DA2">
      <w:pPr>
        <w:spacing w:after="0" w:line="240" w:lineRule="auto"/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>Mini Adventure ∙</w:t>
      </w:r>
      <w:r w:rsidRPr="00497DA2">
        <w:rPr>
          <w:rFonts w:cstheme="minorHAnsi"/>
          <w:sz w:val="36"/>
        </w:rPr>
        <w:t>Autumn 2018</w:t>
      </w:r>
      <w:r>
        <w:rPr>
          <w:rFonts w:cstheme="minorHAnsi"/>
          <w:sz w:val="36"/>
        </w:rPr>
        <w:t xml:space="preserve"> ∙ Pioneers</w:t>
      </w:r>
    </w:p>
    <w:p w:rsidR="00497DA2" w:rsidRDefault="00497DA2" w:rsidP="00497DA2">
      <w:pPr>
        <w:spacing w:after="0" w:line="240" w:lineRule="auto"/>
        <w:jc w:val="center"/>
        <w:rPr>
          <w:rFonts w:cstheme="minorHAnsi"/>
          <w:sz w:val="36"/>
        </w:rPr>
      </w:pPr>
    </w:p>
    <w:tbl>
      <w:tblPr>
        <w:tblW w:w="978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E66332" w:rsidRPr="00E66332" w:rsidTr="00E66332">
        <w:trPr>
          <w:trHeight w:val="255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Writing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Reading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Mathematics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Science</w:t>
            </w:r>
          </w:p>
        </w:tc>
      </w:tr>
      <w:tr w:rsidR="00E66332" w:rsidRPr="00E66332" w:rsidTr="00E66332">
        <w:trPr>
          <w:trHeight w:val="321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DA2" w:rsidRPr="00497DA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Identify the audience for writing.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Guide the reader by using a range of organisational devices, including a range of connectives.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Write paragraphs that give the reader a sense of clarity.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Write sentences that include modal verbs.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DA2" w:rsidRPr="00497DA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C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heck that the book makes sense, d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iscussing understanding and exploring the meaning of words in context.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Ask questions to improve understanding.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Identify how language, structure and presentation contribute to meaning.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Distinguish between statements of fact and opinion.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Provide reasoned justifications for views.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DA2" w:rsidRPr="00E6633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Read numbers up to 10 000 000.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Use negative numbers.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Write numbers up to 10 000 000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Order and compare numbers up to 10 000 000</w:t>
            </w:r>
          </w:p>
          <w:p w:rsidR="00497DA2" w:rsidRPr="00497DA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proofErr w:type="gramStart"/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.•</w:t>
            </w:r>
            <w:proofErr w:type="gramEnd"/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 xml:space="preserve"> Read Roman numerals to 1000 (M) and recognise years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Round any whole number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Determine the value of each digit in any number.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Add and subtract whole numbers with more than 4 digits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Add and subtract whole numbers with more than 4 digits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Add and subtract numbers mentally with increasingly large numbers.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DA2" w:rsidRPr="00497DA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Plan enquiries, including recognising and controlling variables where necessary.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Use appropriate techn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iques, apparatus, and materials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Record data and results of increasing complexity using scientific diagrams and labels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 xml:space="preserve">• Report findings from enquiries, 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including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 xml:space="preserve"> explanations of results, explanations involving causal relationships, and conclusions.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Give reasons for the particular uses of everyday materials, including metals, wood and plastic.</w:t>
            </w:r>
          </w:p>
        </w:tc>
      </w:tr>
      <w:tr w:rsidR="00E66332" w:rsidRPr="00E66332" w:rsidTr="00E66332">
        <w:trPr>
          <w:trHeight w:val="21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Computing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Geography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PSHCE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Physical Education</w:t>
            </w:r>
          </w:p>
        </w:tc>
      </w:tr>
      <w:tr w:rsidR="00E66332" w:rsidRPr="00E66332" w:rsidTr="00E66332">
        <w:trPr>
          <w:trHeight w:val="978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DA2" w:rsidRPr="00497DA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Collaborate with others online on sites approved and moderated by teachers.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Understand the effect of online comments and show responsibility and sensitivity when online.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Choose the most suitable applications and devices for the purposes of communication.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DA2" w:rsidRPr="00497DA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Collect and analyse statistics and other information in order to draw clear conclusions about locations.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Identify and describe the geographical significance of latitude, longitude, Equator, Northern Hemisphere, Southern Hemisphere, the Tropics of Cancer and Capricorn, Arctic and Antarctic Circle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Describe how locations around the world are changing and explain some of the reasons for change.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Describe how countries and geographical regions are interconnected and interdependent.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 xml:space="preserve">• Describe and give key aspects of human geography, including: land 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 xml:space="preserve">use 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the distribution of natural resources including energy, food, minerals, and water supplies.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6332" w:rsidRDefault="00497DA2" w:rsidP="00E6633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 xml:space="preserve">• Listen and respond respectfully to a wide range of people, to feel confident to raise their own concerns, to recognise and care about other people's feelings and to try to see, respect and if necessary constructively 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challenge their points of view.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Research, discuss and debate topi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cal issues, problems and events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Understand that there are different kinds of responsibilities, rights and duties at home, at school, in the community and towards the environment.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Resolve differences by looking at alternatives, seeing and respecting others’ points of view, making decisions and explaining choices.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Recognise that resources can be allocated in different ways and that these economic choices affect individuals, communities and the sustainability of the environment.</w:t>
            </w:r>
          </w:p>
          <w:p w:rsidR="00E66332" w:rsidRPr="00497DA2" w:rsidRDefault="00E66332" w:rsidP="00E6633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DA2" w:rsidRPr="00497DA2" w:rsidRDefault="00497DA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Choose and combine techniques in game situations (running, throwing, catching, passing, jumping and kicking, etc.).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Work alone, or with team mates in order to gain points or possession.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Choose the most appropriate tactics for a game.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Uphold the spirit of fair play and respect in all competitive situations.</w:t>
            </w:r>
          </w:p>
        </w:tc>
      </w:tr>
      <w:tr w:rsidR="00E66332" w:rsidRPr="00E66332" w:rsidTr="00E66332">
        <w:trPr>
          <w:trHeight w:val="225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lastRenderedPageBreak/>
              <w:t>Art and Design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Design and Technology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Music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DA2" w:rsidRPr="00497DA2" w:rsidRDefault="00497DA2" w:rsidP="00497DA2">
            <w:pPr>
              <w:spacing w:after="0" w:line="240" w:lineRule="auto"/>
              <w:jc w:val="center"/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Languages</w:t>
            </w:r>
          </w:p>
        </w:tc>
      </w:tr>
      <w:tr w:rsidR="00E66332" w:rsidRPr="00E66332" w:rsidTr="00E66332">
        <w:trPr>
          <w:trHeight w:val="3760"/>
        </w:trPr>
        <w:tc>
          <w:tcPr>
            <w:tcW w:w="2445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6332" w:rsidRPr="00497DA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Build up layers of colours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 xml:space="preserve"> when printing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Create an accurate pattern, showing fine detail.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Use a range of visual elements to reflect the purpose of the work.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Give details (including own sketches) about the style of some notable artists, artisans and designers.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Create original pieces that show a range of influences and styles.</w:t>
            </w:r>
          </w:p>
        </w:tc>
        <w:tc>
          <w:tcPr>
            <w:tcW w:w="244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6332" w:rsidRPr="00497DA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Cut materials with precision and refine the finish with appropriate tools (such as sanding wood after cutting or a more precise scissor cut after roughly cutting out a shape).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Show an understanding of the qualities of materials to choose appropriate to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ols to cut and shape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Design with the user in mind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Make products through stages of prototypes, making continual refinements.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Use prototypes to represent designs. 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Create innovative designs that improve upon existing products.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 xml:space="preserve">• </w:t>
            </w:r>
            <w:r w:rsidRPr="00E6633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Evaluate the design of products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6332" w:rsidRPr="00497DA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Hold a part within a round.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Sustain a drone or a melodic ostinato to accompany singing.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Use the standard musical notation of crotchet, minim and semibreve to indicate how many beats to play.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Read and create notes on the musical stave.</w:t>
            </w:r>
          </w:p>
        </w:tc>
        <w:tc>
          <w:tcPr>
            <w:tcW w:w="244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6332" w:rsidRPr="00497DA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Refer to recent experiences or future plans, as well as to everyday activities. 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Convey meaning (although there may be some mistakes, the meaning can be understood with little or no difficulty).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Understand the main points and opinions in spoken passages.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Refer to recent experiences or future plans, everyday activities and interests. </w:t>
            </w:r>
          </w:p>
        </w:tc>
      </w:tr>
      <w:tr w:rsidR="00E66332" w:rsidRPr="00E66332" w:rsidTr="00E66332">
        <w:trPr>
          <w:trHeight w:val="254"/>
        </w:trPr>
        <w:tc>
          <w:tcPr>
            <w:tcW w:w="2445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b/>
                <w:bCs/>
                <w:sz w:val="18"/>
                <w:szCs w:val="20"/>
                <w:lang w:eastAsia="en-GB"/>
              </w:rPr>
              <w:t>Religious Education</w:t>
            </w: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</w:p>
        </w:tc>
      </w:tr>
      <w:tr w:rsidR="00E66332" w:rsidRPr="00E66332" w:rsidTr="00E66332">
        <w:trPr>
          <w:trHeight w:val="2128"/>
        </w:trPr>
        <w:tc>
          <w:tcPr>
            <w:tcW w:w="2445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t>• Explain how religious beliefs shape the lives of individuals and communities.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Explain the practices and lifestyles involved in belonging to a faith community.</w:t>
            </w:r>
            <w:r w:rsidRPr="00497DA2"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  <w:br/>
              <w:t>• Express their own values and remain respectful of those with different values.</w:t>
            </w: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66332" w:rsidRPr="00E66332" w:rsidRDefault="00E66332" w:rsidP="00497DA2">
            <w:pPr>
              <w:spacing w:after="0" w:line="240" w:lineRule="auto"/>
              <w:rPr>
                <w:rFonts w:ascii="SassoonPrimaryInfant" w:eastAsia="Times New Roman" w:hAnsi="SassoonPrimaryInfant" w:cs="Calibri"/>
                <w:sz w:val="18"/>
                <w:szCs w:val="20"/>
                <w:lang w:eastAsia="en-GB"/>
              </w:rPr>
            </w:pPr>
          </w:p>
        </w:tc>
      </w:tr>
    </w:tbl>
    <w:p w:rsidR="00497DA2" w:rsidRDefault="00497DA2" w:rsidP="00497DA2">
      <w:pPr>
        <w:spacing w:after="0" w:line="240" w:lineRule="auto"/>
        <w:jc w:val="center"/>
        <w:rPr>
          <w:rFonts w:cstheme="minorHAnsi"/>
          <w:sz w:val="36"/>
        </w:rPr>
      </w:pPr>
    </w:p>
    <w:p w:rsidR="00E66332" w:rsidRPr="00E66332" w:rsidRDefault="00E66332" w:rsidP="00497DA2">
      <w:pPr>
        <w:spacing w:after="0" w:line="240" w:lineRule="auto"/>
        <w:jc w:val="center"/>
        <w:rPr>
          <w:rFonts w:cstheme="minorHAnsi"/>
          <w:b/>
          <w:sz w:val="36"/>
        </w:rPr>
      </w:pPr>
      <w:r w:rsidRPr="00E66332">
        <w:rPr>
          <w:rFonts w:cs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042B" wp14:editId="4F3FC142">
                <wp:simplePos x="0" y="0"/>
                <wp:positionH relativeFrom="column">
                  <wp:posOffset>3788229</wp:posOffset>
                </wp:positionH>
                <wp:positionV relativeFrom="paragraph">
                  <wp:posOffset>200659</wp:posOffset>
                </wp:positionV>
                <wp:extent cx="2755075" cy="2837823"/>
                <wp:effectExtent l="19050" t="38100" r="45720" b="3873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075" cy="2837823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332" w:rsidRPr="00E66332" w:rsidRDefault="00E66332" w:rsidP="00E6633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66332">
                              <w:rPr>
                                <w:b/>
                                <w:sz w:val="18"/>
                              </w:rPr>
                              <w:t>How will you demonstrate your expert knowledge of plastics and waste?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left:0;text-align:left;margin-left:298.3pt;margin-top:15.8pt;width:216.95pt;height:2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5075,28378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" adj="-11796480,,5400" path="m3,1083949r1052348,8l1377538,r325186,1083957l2755072,1083949r-851371,669915l2228901,2837816,1377538,2167889,526174,2837816,851374,1753864,3,1083949xe" fillcolor="#1f497d [3215]" strokecolor="#243f60 [1604]" strokeweight="2pt">
                <v:stroke joinstyle="miter"/>
                <v:formulas/>
                <v:path arrowok="t" o:connecttype="custom" o:connectlocs="3,1083949;1052351,1083957;1377538,0;1702724,1083957;2755072,1083949;1903701,1753864;2228901,2837816;1377538,2167889;526174,2837816;851374,1753864;3,1083949" o:connectangles="0,0,0,0,0,0,0,0,0,0,0" textboxrect="0,0,2755075,2837823"/>
                <v:textbox>
                  <w:txbxContent>
                    <w:p w:rsidR="00E66332" w:rsidRPr="00E66332" w:rsidRDefault="00E66332" w:rsidP="00E6633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66332">
                        <w:rPr>
                          <w:b/>
                          <w:sz w:val="18"/>
                        </w:rPr>
                        <w:t>How will you demonstrate your expert knowledge of plastics and waste?</w:t>
                      </w:r>
                    </w:p>
                  </w:txbxContent>
                </v:textbox>
              </v:shape>
            </w:pict>
          </mc:Fallback>
        </mc:AlternateContent>
      </w:r>
      <w:r w:rsidRPr="00E66332">
        <w:rPr>
          <w:rFonts w:cstheme="minorHAnsi"/>
          <w:b/>
          <w:sz w:val="36"/>
        </w:rPr>
        <w:t>Time to Shine!</w:t>
      </w:r>
    </w:p>
    <w:p w:rsidR="00497DA2" w:rsidRPr="00497DA2" w:rsidRDefault="00E66332" w:rsidP="00497DA2">
      <w:pPr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DC270" wp14:editId="5BE92824">
                <wp:simplePos x="0" y="0"/>
                <wp:positionH relativeFrom="column">
                  <wp:posOffset>1329690</wp:posOffset>
                </wp:positionH>
                <wp:positionV relativeFrom="paragraph">
                  <wp:posOffset>1156335</wp:posOffset>
                </wp:positionV>
                <wp:extent cx="2635885" cy="2802255"/>
                <wp:effectExtent l="19050" t="38100" r="31115" b="3619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802255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332" w:rsidRPr="00E66332" w:rsidRDefault="00E66332" w:rsidP="00E6633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66332">
                              <w:rPr>
                                <w:b/>
                                <w:sz w:val="18"/>
                              </w:rPr>
                              <w:t>Can you convince others to reduce their plastic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7" style="position:absolute;left:0;text-align:left;margin-left:104.7pt;margin-top:91.05pt;width:207.55pt;height:2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280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" adj="-11796480,,5400" path="m3,1070363r1006821,8l1317943,r311118,1070371l2635882,1070363r-814539,661519l2132474,2802248,1317943,2140718,503411,2802248,814542,1731882,3,1070363xe" fillcolor="#1f497d [3215]" strokecolor="#243f60 [1604]" strokeweight="2pt">
                <v:stroke joinstyle="miter"/>
                <v:formulas/>
                <v:path arrowok="t" o:connecttype="custom" o:connectlocs="3,1070363;1006824,1070371;1317943,0;1629061,1070371;2635882,1070363;1821343,1731882;2132474,2802248;1317943,2140718;503411,2802248;814542,1731882;3,1070363" o:connectangles="0,0,0,0,0,0,0,0,0,0,0" textboxrect="0,0,2635885,2802255"/>
                <v:textbox>
                  <w:txbxContent>
                    <w:p w:rsidR="00E66332" w:rsidRPr="00E66332" w:rsidRDefault="00E66332" w:rsidP="00E6633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66332">
                        <w:rPr>
                          <w:b/>
                          <w:sz w:val="18"/>
                        </w:rPr>
                        <w:t xml:space="preserve">Can you </w:t>
                      </w:r>
                      <w:r w:rsidRPr="00E66332">
                        <w:rPr>
                          <w:b/>
                          <w:sz w:val="18"/>
                        </w:rPr>
                        <w:t>convince others to reduce their plastic use?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5E3D" wp14:editId="686425DF">
                <wp:simplePos x="0" y="0"/>
                <wp:positionH relativeFrom="column">
                  <wp:posOffset>-819785</wp:posOffset>
                </wp:positionH>
                <wp:positionV relativeFrom="paragraph">
                  <wp:posOffset>40640</wp:posOffset>
                </wp:positionV>
                <wp:extent cx="2576195" cy="2719070"/>
                <wp:effectExtent l="19050" t="38100" r="33655" b="431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2719070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332" w:rsidRPr="00E66332" w:rsidRDefault="00E66332" w:rsidP="00E6633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66332">
                              <w:rPr>
                                <w:b/>
                                <w:sz w:val="18"/>
                              </w:rPr>
                              <w:t>Can you solve the problem of ‘over-packaging?’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8" style="position:absolute;left:0;text-align:left;margin-left:-64.55pt;margin-top:3.2pt;width:202.8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6195,2719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" adj="-11796480,,5400" path="m3,1038590r984021,7l1288098,r304073,1038597l2576192,1038590r-796094,641881l2084184,2719063,1288098,2077170,492011,2719063,796097,1680471,3,1038590xe" fillcolor="#1f497d [3215]" strokecolor="#243f60 [1604]" strokeweight="2pt">
                <v:stroke joinstyle="miter"/>
                <v:formulas/>
                <v:path arrowok="t" o:connecttype="custom" o:connectlocs="3,1038590;984024,1038597;1288098,0;1592171,1038597;2576192,1038590;1780098,1680471;2084184,2719063;1288098,2077170;492011,2719063;796097,1680471;3,1038590" o:connectangles="0,0,0,0,0,0,0,0,0,0,0" textboxrect="0,0,2576195,2719070"/>
                <v:textbox>
                  <w:txbxContent>
                    <w:p w:rsidR="00E66332" w:rsidRPr="00E66332" w:rsidRDefault="00E66332" w:rsidP="00E6633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66332">
                        <w:rPr>
                          <w:b/>
                          <w:sz w:val="18"/>
                        </w:rPr>
                        <w:t>Can you solve the problem of ‘over-packaging?’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DA2" w:rsidRPr="0049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F6" w:rsidRDefault="00BE4FF6" w:rsidP="00497DA2">
      <w:pPr>
        <w:spacing w:after="0" w:line="240" w:lineRule="auto"/>
      </w:pPr>
      <w:r>
        <w:separator/>
      </w:r>
    </w:p>
  </w:endnote>
  <w:endnote w:type="continuationSeparator" w:id="0">
    <w:p w:rsidR="00BE4FF6" w:rsidRDefault="00BE4FF6" w:rsidP="004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F6" w:rsidRDefault="00BE4FF6" w:rsidP="00497DA2">
      <w:pPr>
        <w:spacing w:after="0" w:line="240" w:lineRule="auto"/>
      </w:pPr>
      <w:r>
        <w:separator/>
      </w:r>
    </w:p>
  </w:footnote>
  <w:footnote w:type="continuationSeparator" w:id="0">
    <w:p w:rsidR="00BE4FF6" w:rsidRDefault="00BE4FF6" w:rsidP="0049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A2"/>
    <w:rsid w:val="00497DA2"/>
    <w:rsid w:val="005219BF"/>
    <w:rsid w:val="009922ED"/>
    <w:rsid w:val="00BE4FF6"/>
    <w:rsid w:val="00E66332"/>
    <w:rsid w:val="00E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A2"/>
  </w:style>
  <w:style w:type="paragraph" w:styleId="Footer">
    <w:name w:val="footer"/>
    <w:basedOn w:val="Normal"/>
    <w:link w:val="FooterChar"/>
    <w:uiPriority w:val="99"/>
    <w:unhideWhenUsed/>
    <w:rsid w:val="0049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A2"/>
  </w:style>
  <w:style w:type="paragraph" w:styleId="BalloonText">
    <w:name w:val="Balloon Text"/>
    <w:basedOn w:val="Normal"/>
    <w:link w:val="BalloonTextChar"/>
    <w:uiPriority w:val="99"/>
    <w:semiHidden/>
    <w:unhideWhenUsed/>
    <w:rsid w:val="00E6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A2"/>
  </w:style>
  <w:style w:type="paragraph" w:styleId="Footer">
    <w:name w:val="footer"/>
    <w:basedOn w:val="Normal"/>
    <w:link w:val="FooterChar"/>
    <w:uiPriority w:val="99"/>
    <w:unhideWhenUsed/>
    <w:rsid w:val="0049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A2"/>
  </w:style>
  <w:style w:type="paragraph" w:styleId="BalloonText">
    <w:name w:val="Balloon Text"/>
    <w:basedOn w:val="Normal"/>
    <w:link w:val="BalloonTextChar"/>
    <w:uiPriority w:val="99"/>
    <w:semiHidden/>
    <w:unhideWhenUsed/>
    <w:rsid w:val="00E6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Gamston</dc:creator>
  <cp:lastModifiedBy>Nikki Gamston</cp:lastModifiedBy>
  <cp:revision>2</cp:revision>
  <cp:lastPrinted>2018-09-06T13:22:00Z</cp:lastPrinted>
  <dcterms:created xsi:type="dcterms:W3CDTF">2018-09-14T09:21:00Z</dcterms:created>
  <dcterms:modified xsi:type="dcterms:W3CDTF">2018-09-14T09:21:00Z</dcterms:modified>
</cp:coreProperties>
</file>